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CB72" w14:textId="1F54D9FA" w:rsidR="00D97512" w:rsidRPr="00D97512" w:rsidRDefault="00D97512" w:rsidP="00D97512">
      <w:pPr>
        <w:rPr>
          <w:lang w:val="en-US"/>
        </w:rPr>
      </w:pPr>
      <w:r w:rsidRPr="00D97512">
        <w:rPr>
          <w:b/>
          <w:bCs/>
          <w:lang w:val="en-US"/>
        </w:rPr>
        <w:t>Methodological Recommendations for the Independent Work of Students (IWS) in the Course "</w:t>
      </w:r>
      <w:r w:rsidR="002A0756">
        <w:rPr>
          <w:b/>
          <w:bCs/>
          <w:lang w:val="en-US"/>
        </w:rPr>
        <w:t>Medical Ecology</w:t>
      </w:r>
      <w:r w:rsidRPr="00D97512">
        <w:rPr>
          <w:b/>
          <w:bCs/>
          <w:lang w:val="en-US"/>
        </w:rPr>
        <w:t>"</w:t>
      </w:r>
    </w:p>
    <w:p w14:paraId="6C4077C7" w14:textId="153B1314" w:rsidR="00D97512" w:rsidRPr="00D97512" w:rsidRDefault="00D97512" w:rsidP="00D97512">
      <w:pPr>
        <w:rPr>
          <w:lang w:val="en-US"/>
        </w:rPr>
      </w:pPr>
      <w:r w:rsidRPr="00D97512">
        <w:rPr>
          <w:b/>
          <w:bCs/>
          <w:lang w:val="en-US"/>
        </w:rPr>
        <w:t>1. Thematic Plan of IWS Assignments</w:t>
      </w:r>
      <w:r w:rsidRPr="00D97512">
        <w:rPr>
          <w:lang w:val="en-US"/>
        </w:rPr>
        <w:br/>
      </w:r>
    </w:p>
    <w:tbl>
      <w:tblPr>
        <w:tblW w:w="9097" w:type="dxa"/>
        <w:tblCellMar>
          <w:top w:w="15" w:type="dxa"/>
          <w:left w:w="15" w:type="dxa"/>
          <w:bottom w:w="15" w:type="dxa"/>
          <w:right w:w="15" w:type="dxa"/>
        </w:tblCellMar>
        <w:tblLook w:val="04A0" w:firstRow="1" w:lastRow="0" w:firstColumn="1" w:lastColumn="0" w:noHBand="0" w:noVBand="1"/>
      </w:tblPr>
      <w:tblGrid>
        <w:gridCol w:w="781"/>
        <w:gridCol w:w="6672"/>
        <w:gridCol w:w="1644"/>
      </w:tblGrid>
      <w:tr w:rsidR="00D97512" w:rsidRPr="00D97512" w14:paraId="236193C9" w14:textId="77777777" w:rsidTr="006551DC">
        <w:trPr>
          <w:trHeight w:val="709"/>
          <w:tblHeader/>
        </w:trPr>
        <w:tc>
          <w:tcPr>
            <w:tcW w:w="0" w:type="auto"/>
            <w:tcBorders>
              <w:top w:val="nil"/>
            </w:tcBorders>
            <w:tcMar>
              <w:top w:w="150" w:type="dxa"/>
              <w:left w:w="0" w:type="dxa"/>
              <w:bottom w:w="150" w:type="dxa"/>
              <w:right w:w="240" w:type="dxa"/>
            </w:tcMar>
            <w:vAlign w:val="center"/>
            <w:hideMark/>
          </w:tcPr>
          <w:p w14:paraId="0040034F" w14:textId="77777777" w:rsidR="00D97512" w:rsidRPr="00D97512" w:rsidRDefault="00D97512" w:rsidP="00D97512">
            <w:r w:rsidRPr="00D97512">
              <w:t>Week</w:t>
            </w:r>
          </w:p>
        </w:tc>
        <w:tc>
          <w:tcPr>
            <w:tcW w:w="0" w:type="auto"/>
            <w:tcBorders>
              <w:top w:val="nil"/>
            </w:tcBorders>
            <w:tcMar>
              <w:top w:w="150" w:type="dxa"/>
              <w:left w:w="240" w:type="dxa"/>
              <w:bottom w:w="150" w:type="dxa"/>
              <w:right w:w="240" w:type="dxa"/>
            </w:tcMar>
            <w:vAlign w:val="center"/>
            <w:hideMark/>
          </w:tcPr>
          <w:p w14:paraId="32CBA479" w14:textId="77777777" w:rsidR="00D97512" w:rsidRPr="00D97512" w:rsidRDefault="00D97512" w:rsidP="00D97512">
            <w:proofErr w:type="spellStart"/>
            <w:r w:rsidRPr="00D97512">
              <w:t>Topic</w:t>
            </w:r>
            <w:proofErr w:type="spellEnd"/>
            <w:r w:rsidRPr="00D97512">
              <w:t xml:space="preserve"> </w:t>
            </w:r>
            <w:proofErr w:type="spellStart"/>
            <w:r w:rsidRPr="00D97512">
              <w:t>of</w:t>
            </w:r>
            <w:proofErr w:type="spellEnd"/>
            <w:r w:rsidRPr="00D97512">
              <w:t xml:space="preserve"> </w:t>
            </w:r>
            <w:proofErr w:type="spellStart"/>
            <w:r w:rsidRPr="00D97512">
              <w:t>the</w:t>
            </w:r>
            <w:proofErr w:type="spellEnd"/>
            <w:r w:rsidRPr="00D97512">
              <w:t xml:space="preserve"> </w:t>
            </w:r>
            <w:proofErr w:type="spellStart"/>
            <w:r w:rsidRPr="00D97512">
              <w:t>Assignment</w:t>
            </w:r>
            <w:proofErr w:type="spellEnd"/>
          </w:p>
        </w:tc>
        <w:tc>
          <w:tcPr>
            <w:tcW w:w="0" w:type="auto"/>
            <w:tcBorders>
              <w:top w:val="nil"/>
            </w:tcBorders>
            <w:tcMar>
              <w:top w:w="150" w:type="dxa"/>
              <w:left w:w="240" w:type="dxa"/>
              <w:bottom w:w="150" w:type="dxa"/>
              <w:right w:w="240" w:type="dxa"/>
            </w:tcMar>
            <w:vAlign w:val="center"/>
            <w:hideMark/>
          </w:tcPr>
          <w:p w14:paraId="49718755" w14:textId="77777777" w:rsidR="00D97512" w:rsidRPr="00D97512" w:rsidRDefault="00D97512" w:rsidP="00D97512">
            <w:r w:rsidRPr="00D97512">
              <w:t xml:space="preserve">Form </w:t>
            </w:r>
            <w:proofErr w:type="spellStart"/>
            <w:r w:rsidRPr="00D97512">
              <w:t>of</w:t>
            </w:r>
            <w:proofErr w:type="spellEnd"/>
            <w:r w:rsidRPr="00D97512">
              <w:t xml:space="preserve"> Control</w:t>
            </w:r>
          </w:p>
        </w:tc>
      </w:tr>
      <w:tr w:rsidR="00D97512" w:rsidRPr="00D97512" w14:paraId="4D40C327" w14:textId="77777777" w:rsidTr="006551DC">
        <w:trPr>
          <w:trHeight w:val="1544"/>
        </w:trPr>
        <w:tc>
          <w:tcPr>
            <w:tcW w:w="0" w:type="auto"/>
            <w:tcMar>
              <w:top w:w="150" w:type="dxa"/>
              <w:left w:w="0" w:type="dxa"/>
              <w:bottom w:w="150" w:type="dxa"/>
              <w:right w:w="240" w:type="dxa"/>
            </w:tcMar>
            <w:vAlign w:val="center"/>
            <w:hideMark/>
          </w:tcPr>
          <w:p w14:paraId="716F3991" w14:textId="77777777" w:rsidR="00D97512" w:rsidRPr="00D97512" w:rsidRDefault="00D97512" w:rsidP="00D97512">
            <w:r w:rsidRPr="00D97512">
              <w:t>1–5</w:t>
            </w:r>
          </w:p>
        </w:tc>
        <w:tc>
          <w:tcPr>
            <w:tcW w:w="0" w:type="auto"/>
            <w:tcMar>
              <w:top w:w="150" w:type="dxa"/>
              <w:left w:w="240" w:type="dxa"/>
              <w:bottom w:w="150" w:type="dxa"/>
              <w:right w:w="240" w:type="dxa"/>
            </w:tcMar>
            <w:vAlign w:val="center"/>
            <w:hideMark/>
          </w:tcPr>
          <w:p w14:paraId="53006EAE" w14:textId="2C2E633A" w:rsidR="00D97512" w:rsidRPr="00D97512" w:rsidRDefault="002A0756" w:rsidP="002A0756">
            <w:pPr>
              <w:rPr>
                <w:lang w:val="en-US"/>
              </w:rPr>
            </w:pPr>
            <w:r w:rsidRPr="002A0756">
              <w:rPr>
                <w:lang w:val="en-US"/>
              </w:rPr>
              <w:t xml:space="preserve">PC 1. Subject of medical ecology as a science and field of practice. PC 2. Modern concepts and trends in medical ecology. PC 3. The quality of the human environment. PC 4. Influence and adaptation of the human organism to ecological environmental factors. PC 5. Concepts of ‘health risk’ and environmental risk’ Stages of risk assessment. Risk </w:t>
            </w:r>
            <w:proofErr w:type="gramStart"/>
            <w:r w:rsidRPr="002A0756">
              <w:rPr>
                <w:lang w:val="en-US"/>
              </w:rPr>
              <w:t>management.</w:t>
            </w:r>
            <w:r w:rsidR="006551DC" w:rsidRPr="006551DC">
              <w:rPr>
                <w:lang w:val="en-US"/>
              </w:rPr>
              <w:t>.</w:t>
            </w:r>
            <w:proofErr w:type="gramEnd"/>
          </w:p>
        </w:tc>
        <w:tc>
          <w:tcPr>
            <w:tcW w:w="0" w:type="auto"/>
            <w:tcMar>
              <w:top w:w="150" w:type="dxa"/>
              <w:left w:w="240" w:type="dxa"/>
              <w:bottom w:w="150" w:type="dxa"/>
              <w:right w:w="0" w:type="dxa"/>
            </w:tcMar>
            <w:vAlign w:val="center"/>
            <w:hideMark/>
          </w:tcPr>
          <w:p w14:paraId="52A2DE8E" w14:textId="77777777" w:rsidR="00D97512" w:rsidRPr="00D97512" w:rsidRDefault="00D97512" w:rsidP="00D97512">
            <w:proofErr w:type="spellStart"/>
            <w:r w:rsidRPr="00D97512">
              <w:t>Essay</w:t>
            </w:r>
            <w:proofErr w:type="spellEnd"/>
          </w:p>
        </w:tc>
      </w:tr>
      <w:tr w:rsidR="00D97512" w:rsidRPr="00D97512" w14:paraId="24C405A8" w14:textId="77777777" w:rsidTr="006551DC">
        <w:trPr>
          <w:trHeight w:val="1266"/>
        </w:trPr>
        <w:tc>
          <w:tcPr>
            <w:tcW w:w="0" w:type="auto"/>
            <w:tcMar>
              <w:top w:w="150" w:type="dxa"/>
              <w:left w:w="0" w:type="dxa"/>
              <w:bottom w:w="150" w:type="dxa"/>
              <w:right w:w="240" w:type="dxa"/>
            </w:tcMar>
            <w:vAlign w:val="center"/>
            <w:hideMark/>
          </w:tcPr>
          <w:p w14:paraId="488B99A4" w14:textId="77777777" w:rsidR="00D97512" w:rsidRPr="00D97512" w:rsidRDefault="00D97512" w:rsidP="00D97512">
            <w:r w:rsidRPr="00D97512">
              <w:t>6–8</w:t>
            </w:r>
          </w:p>
        </w:tc>
        <w:tc>
          <w:tcPr>
            <w:tcW w:w="0" w:type="auto"/>
            <w:tcMar>
              <w:top w:w="150" w:type="dxa"/>
              <w:left w:w="240" w:type="dxa"/>
              <w:bottom w:w="150" w:type="dxa"/>
              <w:right w:w="240" w:type="dxa"/>
            </w:tcMar>
            <w:vAlign w:val="center"/>
            <w:hideMark/>
          </w:tcPr>
          <w:p w14:paraId="2E9206B0" w14:textId="34672C6A" w:rsidR="00D97512" w:rsidRPr="006551DC" w:rsidRDefault="002A0756" w:rsidP="002A0756">
            <w:pPr>
              <w:rPr>
                <w:lang w:val="en-US"/>
              </w:rPr>
            </w:pPr>
            <w:r w:rsidRPr="002A0756">
              <w:rPr>
                <w:lang w:val="en-US"/>
              </w:rPr>
              <w:t xml:space="preserve">PC 6. Methods of risk assessment and impact of environmental factors on public health. PC 7. Regulatory documents for assessment of maximum permissible concentrations of harmful substances in water, air, and soil. PC 8. Assessment of the impact of environmental pollution on the health of the population. </w:t>
            </w:r>
          </w:p>
        </w:tc>
        <w:tc>
          <w:tcPr>
            <w:tcW w:w="0" w:type="auto"/>
            <w:tcMar>
              <w:top w:w="150" w:type="dxa"/>
              <w:left w:w="240" w:type="dxa"/>
              <w:bottom w:w="150" w:type="dxa"/>
              <w:right w:w="0" w:type="dxa"/>
            </w:tcMar>
            <w:vAlign w:val="center"/>
            <w:hideMark/>
          </w:tcPr>
          <w:p w14:paraId="33176D2C" w14:textId="77777777" w:rsidR="00D97512" w:rsidRPr="00D97512" w:rsidRDefault="00D97512" w:rsidP="00D97512">
            <w:proofErr w:type="spellStart"/>
            <w:r w:rsidRPr="00D97512">
              <w:t>Solving</w:t>
            </w:r>
            <w:proofErr w:type="spellEnd"/>
            <w:r w:rsidRPr="00D97512">
              <w:t xml:space="preserve"> </w:t>
            </w:r>
            <w:proofErr w:type="spellStart"/>
            <w:r w:rsidRPr="00D97512">
              <w:t>situational</w:t>
            </w:r>
            <w:proofErr w:type="spellEnd"/>
            <w:r w:rsidRPr="00D97512">
              <w:t xml:space="preserve"> </w:t>
            </w:r>
            <w:proofErr w:type="spellStart"/>
            <w:r w:rsidRPr="00D97512">
              <w:t>tasks</w:t>
            </w:r>
            <w:proofErr w:type="spellEnd"/>
          </w:p>
        </w:tc>
      </w:tr>
      <w:tr w:rsidR="00D97512" w:rsidRPr="00D97512" w14:paraId="4741FD80" w14:textId="77777777" w:rsidTr="006551DC">
        <w:trPr>
          <w:trHeight w:val="1266"/>
        </w:trPr>
        <w:tc>
          <w:tcPr>
            <w:tcW w:w="0" w:type="auto"/>
            <w:tcMar>
              <w:top w:w="150" w:type="dxa"/>
              <w:left w:w="0" w:type="dxa"/>
              <w:bottom w:w="150" w:type="dxa"/>
              <w:right w:w="240" w:type="dxa"/>
            </w:tcMar>
            <w:vAlign w:val="center"/>
            <w:hideMark/>
          </w:tcPr>
          <w:p w14:paraId="0F19BB40" w14:textId="77777777" w:rsidR="00D97512" w:rsidRPr="00D97512" w:rsidRDefault="00D97512" w:rsidP="00D97512">
            <w:r w:rsidRPr="00D97512">
              <w:t>9–11</w:t>
            </w:r>
          </w:p>
        </w:tc>
        <w:tc>
          <w:tcPr>
            <w:tcW w:w="0" w:type="auto"/>
            <w:tcMar>
              <w:top w:w="150" w:type="dxa"/>
              <w:left w:w="240" w:type="dxa"/>
              <w:bottom w:w="150" w:type="dxa"/>
              <w:right w:w="240" w:type="dxa"/>
            </w:tcMar>
            <w:vAlign w:val="center"/>
            <w:hideMark/>
          </w:tcPr>
          <w:p w14:paraId="69314915" w14:textId="23DB44FF" w:rsidR="00D97512" w:rsidRPr="00D97512" w:rsidRDefault="002A0756" w:rsidP="002A0756">
            <w:pPr>
              <w:rPr>
                <w:lang w:val="en-US"/>
              </w:rPr>
            </w:pPr>
            <w:r w:rsidRPr="002A0756">
              <w:rPr>
                <w:lang w:val="en-US"/>
              </w:rPr>
              <w:t>PC 9. Assessment of the hydrosphere and the impact of its pollutants on public health. PC 10. Assessment of lithosphere and its polluting factors on public health. PC 11. Assessment of physical environmental factors and their evaluation. Action plans to reduce the harmful effects of physical substances.</w:t>
            </w:r>
          </w:p>
        </w:tc>
        <w:tc>
          <w:tcPr>
            <w:tcW w:w="0" w:type="auto"/>
            <w:tcMar>
              <w:top w:w="150" w:type="dxa"/>
              <w:left w:w="240" w:type="dxa"/>
              <w:bottom w:w="150" w:type="dxa"/>
              <w:right w:w="0" w:type="dxa"/>
            </w:tcMar>
            <w:vAlign w:val="center"/>
            <w:hideMark/>
          </w:tcPr>
          <w:p w14:paraId="22CDABBC" w14:textId="77777777" w:rsidR="00D97512" w:rsidRPr="00D97512" w:rsidRDefault="00D97512" w:rsidP="00D97512">
            <w:r w:rsidRPr="00D97512">
              <w:t>Performance Report</w:t>
            </w:r>
          </w:p>
        </w:tc>
      </w:tr>
      <w:tr w:rsidR="00D97512" w:rsidRPr="00D97512" w14:paraId="35C8AB13" w14:textId="77777777" w:rsidTr="006551DC">
        <w:trPr>
          <w:trHeight w:val="1544"/>
        </w:trPr>
        <w:tc>
          <w:tcPr>
            <w:tcW w:w="0" w:type="auto"/>
            <w:tcMar>
              <w:top w:w="150" w:type="dxa"/>
              <w:left w:w="0" w:type="dxa"/>
              <w:bottom w:w="150" w:type="dxa"/>
              <w:right w:w="240" w:type="dxa"/>
            </w:tcMar>
            <w:vAlign w:val="center"/>
            <w:hideMark/>
          </w:tcPr>
          <w:p w14:paraId="49A6E5CD" w14:textId="77777777" w:rsidR="00D97512" w:rsidRPr="00D97512" w:rsidRDefault="00D97512" w:rsidP="00D97512">
            <w:r w:rsidRPr="00D97512">
              <w:t>12–15</w:t>
            </w:r>
          </w:p>
        </w:tc>
        <w:tc>
          <w:tcPr>
            <w:tcW w:w="0" w:type="auto"/>
            <w:tcMar>
              <w:top w:w="150" w:type="dxa"/>
              <w:left w:w="240" w:type="dxa"/>
              <w:bottom w:w="150" w:type="dxa"/>
              <w:right w:w="240" w:type="dxa"/>
            </w:tcMar>
            <w:vAlign w:val="center"/>
            <w:hideMark/>
          </w:tcPr>
          <w:p w14:paraId="22CABC32" w14:textId="70B7746E" w:rsidR="00D97512" w:rsidRPr="00D97512" w:rsidRDefault="002A0756" w:rsidP="002A0756">
            <w:pPr>
              <w:rPr>
                <w:lang w:val="en-US"/>
              </w:rPr>
            </w:pPr>
            <w:r w:rsidRPr="002A0756">
              <w:rPr>
                <w:lang w:val="en-US"/>
              </w:rPr>
              <w:t xml:space="preserve">PC 12. Assessment of chemical environmental factors and their impact on public health. Action plans to reduce the harmful effects of chemicals. PC 13. Assessment of nutrition and the impact of harmful substances associated with their quality and preparation on the population's health. PC 15. Climate change and its impact on public health. </w:t>
            </w:r>
          </w:p>
        </w:tc>
        <w:tc>
          <w:tcPr>
            <w:tcW w:w="0" w:type="auto"/>
            <w:tcMar>
              <w:top w:w="150" w:type="dxa"/>
              <w:left w:w="240" w:type="dxa"/>
              <w:bottom w:w="150" w:type="dxa"/>
              <w:right w:w="0" w:type="dxa"/>
            </w:tcMar>
            <w:vAlign w:val="center"/>
            <w:hideMark/>
          </w:tcPr>
          <w:p w14:paraId="56A29205" w14:textId="77777777" w:rsidR="00D97512" w:rsidRPr="00D97512" w:rsidRDefault="00D97512" w:rsidP="00D97512">
            <w:proofErr w:type="spellStart"/>
            <w:r w:rsidRPr="00D97512">
              <w:t>Reports</w:t>
            </w:r>
            <w:proofErr w:type="spellEnd"/>
          </w:p>
        </w:tc>
      </w:tr>
    </w:tbl>
    <w:p w14:paraId="6E57C8E6" w14:textId="77777777" w:rsidR="00D97512" w:rsidRPr="00D97512" w:rsidRDefault="00D97512" w:rsidP="00D97512">
      <w:pPr>
        <w:rPr>
          <w:lang w:val="en-US"/>
        </w:rPr>
      </w:pPr>
      <w:r w:rsidRPr="00D97512">
        <w:rPr>
          <w:b/>
          <w:bCs/>
          <w:lang w:val="en-US"/>
        </w:rPr>
        <w:t>2. Methodological Instructions for Completion</w:t>
      </w:r>
      <w:r w:rsidRPr="00D97512">
        <w:rPr>
          <w:lang w:val="en-US"/>
        </w:rPr>
        <w:br/>
        <w:t>To successfully complete the assignments, it is recommended to follow this algorithm:</w:t>
      </w:r>
    </w:p>
    <w:p w14:paraId="58675B46" w14:textId="77777777" w:rsidR="00D97512" w:rsidRPr="00D97512" w:rsidRDefault="00D97512" w:rsidP="006551DC">
      <w:pPr>
        <w:ind w:left="1440"/>
        <w:rPr>
          <w:lang w:val="en-US"/>
        </w:rPr>
      </w:pPr>
    </w:p>
    <w:p w14:paraId="6CF88BDF" w14:textId="77777777" w:rsidR="00D97512" w:rsidRDefault="00D97512" w:rsidP="00D97512">
      <w:pPr>
        <w:rPr>
          <w:b/>
          <w:bCs/>
          <w:lang w:val="en-US"/>
        </w:rPr>
        <w:sectPr w:rsidR="00D97512">
          <w:pgSz w:w="11906" w:h="16838"/>
          <w:pgMar w:top="1417" w:right="1417" w:bottom="1134" w:left="1417" w:header="720" w:footer="720" w:gutter="0"/>
          <w:cols w:space="720"/>
          <w:docGrid w:linePitch="360"/>
        </w:sectPr>
      </w:pPr>
    </w:p>
    <w:p w14:paraId="34A44F24" w14:textId="77777777" w:rsidR="00D97512" w:rsidRPr="00D97512" w:rsidRDefault="00D97512" w:rsidP="00D97512">
      <w:pPr>
        <w:rPr>
          <w:b/>
          <w:bCs/>
          <w:lang w:val="en-US"/>
        </w:rPr>
      </w:pPr>
      <w:r w:rsidRPr="00D97512">
        <w:rPr>
          <w:b/>
          <w:bCs/>
          <w:lang w:val="en-US"/>
        </w:rPr>
        <w:lastRenderedPageBreak/>
        <w:t>3. Schedule of Completion and Evaluation Criteria</w:t>
      </w:r>
    </w:p>
    <w:p w14:paraId="05D136BE" w14:textId="3FAC75FA" w:rsidR="00D97512" w:rsidRPr="00D97512" w:rsidRDefault="00D97512" w:rsidP="00D97512">
      <w:r>
        <w:rPr>
          <w:noProof/>
        </w:rPr>
        <w:drawing>
          <wp:inline distT="0" distB="0" distL="0" distR="0" wp14:anchorId="6D6EC34C" wp14:editId="55273BD7">
            <wp:extent cx="8870950" cy="5144563"/>
            <wp:effectExtent l="0" t="0" r="6350" b="0"/>
            <wp:docPr id="10836396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2135" cy="5162649"/>
                    </a:xfrm>
                    <a:prstGeom prst="rect">
                      <a:avLst/>
                    </a:prstGeom>
                    <a:noFill/>
                    <a:ln>
                      <a:noFill/>
                    </a:ln>
                  </pic:spPr>
                </pic:pic>
              </a:graphicData>
            </a:graphic>
          </wp:inline>
        </w:drawing>
      </w:r>
    </w:p>
    <w:p w14:paraId="0C886130" w14:textId="77777777" w:rsidR="00DB7717" w:rsidRPr="00D97512" w:rsidRDefault="00DB7717">
      <w:pPr>
        <w:rPr>
          <w:lang w:val="en-US"/>
        </w:rPr>
      </w:pPr>
    </w:p>
    <w:sectPr w:rsidR="00DB7717" w:rsidRPr="00D97512" w:rsidSect="00D97512">
      <w:pgSz w:w="16838" w:h="11906" w:orient="landscape"/>
      <w:pgMar w:top="1411" w:right="1411" w:bottom="1411"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21D47"/>
    <w:multiLevelType w:val="multilevel"/>
    <w:tmpl w:val="E7345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2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12"/>
    <w:rsid w:val="002A0756"/>
    <w:rsid w:val="004A1598"/>
    <w:rsid w:val="004F7E14"/>
    <w:rsid w:val="006551DC"/>
    <w:rsid w:val="00D97512"/>
    <w:rsid w:val="00DB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3EDD"/>
  <w15:chartTrackingRefBased/>
  <w15:docId w15:val="{5D1D8CFB-A2D6-47E8-B7AF-D43B3599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75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75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75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75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75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75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75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5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75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75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75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75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75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7512"/>
    <w:rPr>
      <w:rFonts w:eastAsiaTheme="majorEastAsia" w:cstheme="majorBidi"/>
      <w:color w:val="595959" w:themeColor="text1" w:themeTint="A6"/>
    </w:rPr>
  </w:style>
  <w:style w:type="character" w:customStyle="1" w:styleId="80">
    <w:name w:val="Заголовок 8 Знак"/>
    <w:basedOn w:val="a0"/>
    <w:link w:val="8"/>
    <w:uiPriority w:val="9"/>
    <w:semiHidden/>
    <w:rsid w:val="00D975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7512"/>
    <w:rPr>
      <w:rFonts w:eastAsiaTheme="majorEastAsia" w:cstheme="majorBidi"/>
      <w:color w:val="272727" w:themeColor="text1" w:themeTint="D8"/>
    </w:rPr>
  </w:style>
  <w:style w:type="paragraph" w:styleId="a3">
    <w:name w:val="Title"/>
    <w:basedOn w:val="a"/>
    <w:next w:val="a"/>
    <w:link w:val="a4"/>
    <w:uiPriority w:val="10"/>
    <w:qFormat/>
    <w:rsid w:val="00D9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7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5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75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7512"/>
    <w:pPr>
      <w:spacing w:before="160"/>
      <w:jc w:val="center"/>
    </w:pPr>
    <w:rPr>
      <w:i/>
      <w:iCs/>
      <w:color w:val="404040" w:themeColor="text1" w:themeTint="BF"/>
    </w:rPr>
  </w:style>
  <w:style w:type="character" w:customStyle="1" w:styleId="22">
    <w:name w:val="Цитата 2 Знак"/>
    <w:basedOn w:val="a0"/>
    <w:link w:val="21"/>
    <w:uiPriority w:val="29"/>
    <w:rsid w:val="00D97512"/>
    <w:rPr>
      <w:i/>
      <w:iCs/>
      <w:color w:val="404040" w:themeColor="text1" w:themeTint="BF"/>
    </w:rPr>
  </w:style>
  <w:style w:type="paragraph" w:styleId="a7">
    <w:name w:val="List Paragraph"/>
    <w:basedOn w:val="a"/>
    <w:uiPriority w:val="34"/>
    <w:qFormat/>
    <w:rsid w:val="00D97512"/>
    <w:pPr>
      <w:ind w:left="720"/>
      <w:contextualSpacing/>
    </w:pPr>
  </w:style>
  <w:style w:type="character" w:styleId="a8">
    <w:name w:val="Intense Emphasis"/>
    <w:basedOn w:val="a0"/>
    <w:uiPriority w:val="21"/>
    <w:qFormat/>
    <w:rsid w:val="00D97512"/>
    <w:rPr>
      <w:i/>
      <w:iCs/>
      <w:color w:val="0F4761" w:themeColor="accent1" w:themeShade="BF"/>
    </w:rPr>
  </w:style>
  <w:style w:type="paragraph" w:styleId="a9">
    <w:name w:val="Intense Quote"/>
    <w:basedOn w:val="a"/>
    <w:next w:val="a"/>
    <w:link w:val="aa"/>
    <w:uiPriority w:val="30"/>
    <w:qFormat/>
    <w:rsid w:val="00D9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7512"/>
    <w:rPr>
      <w:i/>
      <w:iCs/>
      <w:color w:val="0F4761" w:themeColor="accent1" w:themeShade="BF"/>
    </w:rPr>
  </w:style>
  <w:style w:type="character" w:styleId="ab">
    <w:name w:val="Intense Reference"/>
    <w:basedOn w:val="a0"/>
    <w:uiPriority w:val="32"/>
    <w:qFormat/>
    <w:rsid w:val="00D97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Iskakova</dc:creator>
  <cp:keywords/>
  <dc:description/>
  <cp:lastModifiedBy>Farida Iskakova</cp:lastModifiedBy>
  <cp:revision>2</cp:revision>
  <dcterms:created xsi:type="dcterms:W3CDTF">2026-02-17T13:30:00Z</dcterms:created>
  <dcterms:modified xsi:type="dcterms:W3CDTF">2026-02-17T13:30:00Z</dcterms:modified>
</cp:coreProperties>
</file>